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line="219" w:lineRule="auto"/>
        <w:ind w:firstLine="616" w:firstLineChars="200"/>
        <w:rPr>
          <w:rFonts w:ascii="黑体" w:hAnsi="黑体" w:eastAsia="黑体" w:cs="宋体"/>
          <w:spacing w:val="-6"/>
          <w:sz w:val="32"/>
          <w:szCs w:val="32"/>
        </w:rPr>
      </w:pPr>
      <w:r>
        <w:rPr>
          <w:rFonts w:hint="eastAsia" w:ascii="黑体" w:hAnsi="黑体" w:eastAsia="黑体" w:cs="宋体"/>
          <w:spacing w:val="-6"/>
          <w:sz w:val="32"/>
          <w:szCs w:val="32"/>
        </w:rPr>
        <w:t>附件4：</w:t>
      </w:r>
    </w:p>
    <w:p>
      <w:pPr>
        <w:spacing w:before="312" w:line="219" w:lineRule="auto"/>
        <w:jc w:val="center"/>
        <w:rPr>
          <w:rFonts w:ascii="宋体" w:hAnsi="宋体" w:eastAsia="宋体" w:cs="宋体"/>
          <w:b/>
          <w:bCs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44"/>
          <w:szCs w:val="44"/>
          <w:lang w:val="en-US" w:eastAsia="zh-CN"/>
        </w:rPr>
        <w:t>实地评估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pacing w:val="-6"/>
          <w:sz w:val="44"/>
          <w:szCs w:val="44"/>
        </w:rPr>
        <w:t>内容及参考</w:t>
      </w:r>
      <w:r>
        <w:rPr>
          <w:rFonts w:ascii="宋体" w:hAnsi="宋体" w:eastAsia="宋体" w:cs="宋体"/>
          <w:b/>
          <w:bCs/>
          <w:spacing w:val="-6"/>
          <w:sz w:val="44"/>
          <w:szCs w:val="44"/>
        </w:rPr>
        <w:t>标准</w:t>
      </w:r>
    </w:p>
    <w:tbl>
      <w:tblPr>
        <w:tblStyle w:val="5"/>
        <w:tblpPr w:leftFromText="180" w:rightFromText="180" w:vertAnchor="text" w:horzAnchor="page" w:tblpX="2086" w:tblpY="507"/>
        <w:tblOverlap w:val="never"/>
        <w:tblW w:w="1289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0348"/>
        <w:gridCol w:w="28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4" w:type="dxa"/>
          <w:trHeight w:val="699" w:hRule="atLeast"/>
        </w:trPr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Style w:val="9"/>
                <w:rFonts w:ascii="Times New Roman" w:hAnsi="Times New Roman" w:cs="Times New Roman"/>
                <w:lang w:bidi="ar"/>
              </w:rPr>
              <w:t>评</w:t>
            </w:r>
            <w:r>
              <w:rPr>
                <w:rStyle w:val="9"/>
                <w:rFonts w:hint="eastAsia" w:ascii="Times New Roman" w:hAnsi="Times New Roman" w:eastAsia="黑体" w:cs="Times New Roman"/>
                <w:lang w:val="en-US" w:eastAsia="zh-CN" w:bidi="ar"/>
              </w:rPr>
              <w:t>估</w:t>
            </w:r>
            <w:r>
              <w:rPr>
                <w:rStyle w:val="9"/>
                <w:rFonts w:ascii="Times New Roman" w:hAnsi="Times New Roman" w:cs="Times New Roman"/>
                <w:lang w:bidi="ar"/>
              </w:rPr>
              <w:t>内容</w:t>
            </w:r>
          </w:p>
        </w:tc>
        <w:tc>
          <w:tcPr>
            <w:tcW w:w="10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Style w:val="9"/>
                <w:rFonts w:hint="eastAsia" w:ascii="Times New Roman" w:hAnsi="Times New Roman" w:cs="Times New Roman"/>
                <w:lang w:bidi="ar"/>
              </w:rPr>
              <w:t>参考</w:t>
            </w:r>
            <w:r>
              <w:rPr>
                <w:rStyle w:val="9"/>
                <w:rFonts w:ascii="Times New Roman" w:hAnsi="Times New Roman" w:cs="Times New Roman"/>
                <w:lang w:bidi="ar"/>
              </w:rPr>
              <w:t>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4" w:type="dxa"/>
          <w:trHeight w:val="1697" w:hRule="atLeast"/>
        </w:trPr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培训场所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textAlignment w:val="center"/>
              <w:rPr>
                <w:rFonts w:ascii="仿宋" w:hAnsi="仿宋" w:eastAsia="仿宋" w:cs="方正小标宋简体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教学场所面积300</w:t>
            </w:r>
            <w:r>
              <w:rPr>
                <w:rFonts w:hint="eastAsia" w:ascii="仿宋" w:hAnsi="仿宋" w:eastAsia="仿宋" w:cs="Segoe UI Symbol"/>
                <w:sz w:val="24"/>
                <w:szCs w:val="24"/>
              </w:rPr>
              <w:t>㎡及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</w:rPr>
              <w:t>以上，有良好的照明通风条件，有满足实习教学需要的实习操作场所，符合环保、安全、消防、卫生等有关规定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</w:rPr>
              <w:t>创业培训机构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教学场地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</w:rPr>
              <w:t>应有不少于2个规范教室，且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每个教室面积不少于60</w:t>
            </w:r>
            <w:r>
              <w:rPr>
                <w:rFonts w:hint="eastAsia" w:ascii="仿宋" w:hAnsi="仿宋" w:eastAsia="仿宋" w:cs="Segoe UI Symbol"/>
                <w:sz w:val="24"/>
                <w:szCs w:val="24"/>
              </w:rPr>
              <w:t>㎡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</w:rPr>
              <w:t>。</w:t>
            </w:r>
          </w:p>
          <w:p>
            <w:pPr>
              <w:jc w:val="both"/>
              <w:textAlignment w:val="center"/>
              <w:rPr>
                <w:rFonts w:eastAsiaTheme="minorEastAsia"/>
              </w:rPr>
            </w:pPr>
            <w:r>
              <w:rPr>
                <w:rStyle w:val="10"/>
                <w:rFonts w:hint="default"/>
                <w:color w:val="auto"/>
                <w:sz w:val="24"/>
                <w:szCs w:val="24"/>
                <w:lang w:bidi="ar"/>
              </w:rPr>
              <w:t>培训场所为自有产权，需有不动产权证明；为租赁场所，需有租赁协议，至租期结束应当不少于2年。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4" w:type="dxa"/>
          <w:trHeight w:val="1272" w:hRule="atLeast"/>
        </w:trPr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设施设备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10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textAlignment w:val="center"/>
              <w:rPr>
                <w:rFonts w:ascii="仿宋" w:hAnsi="仿宋" w:eastAsia="仿宋" w:cs="方正小标宋简体"/>
                <w:sz w:val="24"/>
                <w:szCs w:val="24"/>
              </w:rPr>
            </w:pPr>
            <w:r>
              <w:rPr>
                <w:rStyle w:val="10"/>
                <w:rFonts w:hint="default"/>
                <w:color w:val="auto"/>
                <w:sz w:val="24"/>
                <w:szCs w:val="24"/>
                <w:lang w:bidi="ar"/>
              </w:rPr>
              <w:t>配有教学所需的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</w:rPr>
              <w:t>桌椅、讲台、教具、黑（白）板等设施，有满足技能训练需要的实习、实验设施和设备。</w:t>
            </w:r>
            <w:r>
              <w:rPr>
                <w:rStyle w:val="10"/>
                <w:rFonts w:hint="default"/>
                <w:color w:val="auto"/>
                <w:sz w:val="24"/>
                <w:szCs w:val="24"/>
                <w:lang w:bidi="ar"/>
              </w:rPr>
              <w:t>创业培训机构有可供35人以上开展实训的设施设备，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</w:rPr>
              <w:t>有可移动课桌椅、投影仪（含便携式电脑）等。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4" w:type="dxa"/>
          <w:trHeight w:val="1975" w:hRule="atLeast"/>
        </w:trPr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师资力量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10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textAlignment w:val="center"/>
              <w:rPr>
                <w:rFonts w:hint="default" w:ascii="仿宋" w:hAnsi="仿宋" w:eastAsia="仿宋" w:cs="方正小标宋简体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技能培训：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</w:rPr>
              <w:t>就业技能培训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  <w:lang w:val="en-US" w:eastAsia="zh-CN"/>
              </w:rPr>
              <w:t>每个培训项目至少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</w:rPr>
              <w:t>配备2名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  <w:lang w:val="en-US" w:eastAsia="zh-CN"/>
              </w:rPr>
              <w:t>以上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</w:rPr>
              <w:t>理论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  <w:lang w:val="en-US" w:eastAsia="zh-CN"/>
              </w:rPr>
              <w:t>课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</w:rPr>
              <w:t>教师和2名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  <w:lang w:val="en-US" w:eastAsia="zh-CN"/>
              </w:rPr>
              <w:t>以上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</w:rPr>
              <w:t>实习指导教师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  <w:lang w:val="en-US" w:eastAsia="zh-CN"/>
              </w:rPr>
              <w:t>教师均应具有与其教学岗位相应的基本条件。</w:t>
            </w:r>
          </w:p>
          <w:p>
            <w:pPr>
              <w:jc w:val="both"/>
              <w:textAlignment w:val="center"/>
              <w:rPr>
                <w:rStyle w:val="10"/>
                <w:rFonts w:hint="default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方正小标宋简体"/>
                <w:sz w:val="24"/>
                <w:szCs w:val="24"/>
              </w:rPr>
              <w:t>2.创业培训：具有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</w:rPr>
              <w:t>名以上取得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  <w:lang w:val="en-US" w:eastAsia="zh-CN"/>
              </w:rPr>
              <w:t>人力资源社会保障部门核发的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</w:rPr>
              <w:t>创业培训师资证书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  <w:lang w:val="en-US" w:eastAsia="zh-CN"/>
              </w:rPr>
              <w:t>并能承担培训教学任务的专（兼）职讲师（其中至少1名专职讲师）</w:t>
            </w:r>
            <w:r>
              <w:rPr>
                <w:rFonts w:hint="eastAsia" w:ascii="仿宋" w:hAnsi="仿宋" w:eastAsia="仿宋" w:cs="方正小标宋简体"/>
                <w:sz w:val="24"/>
                <w:szCs w:val="24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4" w:type="dxa"/>
          <w:trHeight w:val="1123" w:hRule="atLeast"/>
        </w:trPr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制度建设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10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有完善的教学管理制度、安全管理及应急演练制度、学员管理制度、档案管理制度、场地和设施管理制度、财务管理制度等，设有专职财务管理人员。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</w:trPr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教学管理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6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textAlignment w:val="center"/>
              <w:rPr>
                <w:rStyle w:val="10"/>
                <w:rFonts w:hint="default"/>
                <w:color w:val="auto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1.</w:t>
            </w:r>
            <w:r>
              <w:rPr>
                <w:rStyle w:val="10"/>
                <w:rFonts w:hint="default"/>
                <w:color w:val="auto"/>
                <w:sz w:val="24"/>
                <w:szCs w:val="24"/>
                <w:lang w:bidi="ar"/>
              </w:rPr>
              <w:t>设立教学管理机构，定期开展教学研究。每个职业工种等级有相对应的教学（培训）计划、教学大纲。</w:t>
            </w:r>
            <w:r>
              <w:rPr>
                <w:rStyle w:val="10"/>
                <w:rFonts w:hint="default"/>
                <w:color w:val="auto"/>
                <w:sz w:val="24"/>
                <w:szCs w:val="24"/>
              </w:rPr>
              <w:t>将安全生产、消防应急等作为培训必修课。</w:t>
            </w:r>
          </w:p>
          <w:p>
            <w:pPr>
              <w:pStyle w:val="2"/>
              <w:ind w:firstLine="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  <w:r>
              <w:rPr>
                <w:rFonts w:ascii="仿宋" w:hAnsi="仿宋" w:eastAsia="仿宋" w:cs="仿宋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使用国家认定的专业教材或由其他权威机构编写的专业教材。</w:t>
            </w:r>
          </w:p>
          <w:p>
            <w:pPr>
              <w:jc w:val="both"/>
              <w:rPr>
                <w:rFonts w:eastAsiaTheme="minorEastAsi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按照教学计划或教学大纲确定的授课内容、授课时间、参考课时以及师资开展培训工作，</w:t>
            </w:r>
            <w:r>
              <w:rPr>
                <w:rStyle w:val="10"/>
                <w:rFonts w:hint="default"/>
                <w:color w:val="auto"/>
                <w:sz w:val="24"/>
                <w:szCs w:val="24"/>
                <w:lang w:bidi="ar"/>
              </w:rPr>
              <w:t>对学员的培训、考核、结业和就业情况建立台账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>
            <w:pPr>
              <w:jc w:val="both"/>
              <w:rPr>
                <w:rFonts w:eastAsiaTheme="minorEastAsia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4.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z w:val="24"/>
                <w:szCs w:val="24"/>
                <w:lang w:val="en-US" w:eastAsia="zh-CN" w:bidi="ar-SA"/>
              </w:rPr>
              <w:t>办学规模在500人以下的，应配备2-5名教学管理人员；办学规模500人以上的，应配备与之相匹配的教学管理人员。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6" w:hRule="atLeast"/>
        </w:trPr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业务开展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6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textAlignment w:val="center"/>
              <w:rPr>
                <w:rStyle w:val="11"/>
                <w:rFonts w:ascii="仿宋" w:hAnsi="仿宋" w:eastAsia="仿宋" w:cs="仿宋"/>
                <w:color w:val="auto"/>
                <w:sz w:val="24"/>
                <w:szCs w:val="24"/>
                <w:lang w:bidi="ar"/>
              </w:rPr>
            </w:pPr>
            <w:r>
              <w:rPr>
                <w:rStyle w:val="10"/>
                <w:rFonts w:hint="default"/>
                <w:color w:val="auto"/>
                <w:sz w:val="24"/>
                <w:szCs w:val="24"/>
                <w:lang w:bidi="ar"/>
              </w:rPr>
              <w:t>1.年开展社会化培训人数，其中开展补贴性职业技能培训人数</w:t>
            </w:r>
            <w:r>
              <w:rPr>
                <w:rStyle w:val="11"/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  <w:t>。</w:t>
            </w:r>
          </w:p>
          <w:p>
            <w:pPr>
              <w:pStyle w:val="2"/>
              <w:ind w:firstLine="0"/>
              <w:jc w:val="both"/>
              <w:rPr>
                <w:rFonts w:eastAsiaTheme="minorEastAsia"/>
                <w:lang w:bidi="ar"/>
              </w:rPr>
            </w:pPr>
            <w:r>
              <w:rPr>
                <w:rStyle w:val="10"/>
                <w:rFonts w:hint="default"/>
                <w:color w:val="auto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开展培训的职业工种多样，符合本地产业发展和劳动者需求，有较为丰富的培训组织实施经验。</w:t>
            </w:r>
          </w:p>
          <w:p>
            <w:pPr>
              <w:jc w:val="both"/>
              <w:rPr>
                <w:rFonts w:eastAsiaTheme="minorEastAsia"/>
                <w:lang w:bidi="ar"/>
              </w:rPr>
            </w:pPr>
            <w:r>
              <w:rPr>
                <w:rStyle w:val="10"/>
                <w:rFonts w:hint="default"/>
                <w:color w:val="auto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培训工种在急需紧缺培训专业目录范围，具有独特性、先进性、引领性，能发挥地区品牌效应。</w:t>
            </w:r>
          </w:p>
          <w:p>
            <w:pPr>
              <w:pStyle w:val="2"/>
              <w:ind w:firstLine="0"/>
              <w:jc w:val="both"/>
              <w:rPr>
                <w:rFonts w:eastAsiaTheme="minorEastAsia"/>
                <w:lang w:bidi="ar"/>
              </w:rPr>
            </w:pPr>
            <w:r>
              <w:rPr>
                <w:rStyle w:val="10"/>
                <w:rFonts w:hint="default"/>
                <w:color w:val="auto"/>
                <w:sz w:val="24"/>
                <w:szCs w:val="24"/>
              </w:rPr>
              <w:t>4.</w:t>
            </w:r>
            <w:r>
              <w:rPr>
                <w:rFonts w:hint="eastAsia" w:ascii="仿宋" w:hAnsi="仿宋" w:eastAsia="仿宋" w:cs="宋体"/>
                <w:color w:val="auto"/>
                <w:sz w:val="24"/>
                <w:szCs w:val="24"/>
              </w:rPr>
              <w:t>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就业指导、职业介绍等服务，有合理的就业安置渠道，与企业建立就业安置合作关系，对学员开展</w:t>
            </w:r>
            <w:r>
              <w:rPr>
                <w:rFonts w:hint="eastAsia" w:ascii="仿宋" w:hAnsi="仿宋" w:eastAsia="仿宋" w:cs="仿宋"/>
                <w:sz w:val="24"/>
                <w:szCs w:val="24"/>
                <w:lang w:bidi="ar"/>
              </w:rPr>
              <w:t>跟踪回访、后续指导等。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2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社会影响</w:t>
            </w:r>
          </w:p>
          <w:p>
            <w:pPr>
              <w:jc w:val="center"/>
              <w:textAlignment w:val="center"/>
              <w:rPr>
                <w:rFonts w:ascii="仿宋" w:hAnsi="仿宋" w:eastAsia="仿宋" w:cs="仿宋"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106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textAlignment w:val="center"/>
              <w:rPr>
                <w:rFonts w:ascii="仿宋" w:hAnsi="仿宋" w:eastAsia="仿宋" w:cs="宋体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auto"/>
                <w:sz w:val="24"/>
                <w:szCs w:val="24"/>
              </w:rPr>
              <w:t>1</w:t>
            </w:r>
            <w:r>
              <w:rPr>
                <w:rFonts w:ascii="仿宋" w:hAnsi="仿宋" w:eastAsia="仿宋" w:cs="宋体"/>
                <w:color w:val="auto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宋体"/>
                <w:color w:val="auto"/>
                <w:sz w:val="24"/>
                <w:szCs w:val="24"/>
              </w:rPr>
              <w:t>支持公益事业，积极参加公益或慈善活动等。</w:t>
            </w:r>
          </w:p>
          <w:p>
            <w:pPr>
              <w:jc w:val="both"/>
              <w:textAlignment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auto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举办过设区的市级及以上职业技能竞赛或提供主要技术支持，举办竞赛的应当提供人社部门的竞赛文件，提供技术支持的应当由竞赛主办单位提供证明。</w:t>
            </w:r>
          </w:p>
        </w:tc>
      </w:tr>
    </w:tbl>
    <w:p>
      <w:pPr>
        <w:jc w:val="center"/>
        <w:rPr>
          <w:rFonts w:eastAsiaTheme="minorEastAsia"/>
        </w:rPr>
      </w:pPr>
    </w:p>
    <w:p>
      <w:pPr>
        <w:pStyle w:val="2"/>
        <w:rPr>
          <w:rFonts w:eastAsiaTheme="minorEastAsia"/>
        </w:rPr>
      </w:pPr>
    </w:p>
    <w:p>
      <w:pPr>
        <w:jc w:val="center"/>
      </w:pPr>
    </w:p>
    <w:p>
      <w:pPr>
        <w:spacing w:before="100" w:beforeAutospacing="1" w:after="100" w:afterAutospacing="1"/>
        <w:rPr>
          <w:rFonts w:ascii="仿宋_GB2312" w:hAnsi="仿宋" w:eastAsia="仿宋_GB2312"/>
          <w:sz w:val="28"/>
          <w:szCs w:val="28"/>
        </w:rPr>
      </w:pPr>
    </w:p>
    <w:p>
      <w:pPr>
        <w:pStyle w:val="7"/>
        <w:rPr>
          <w:rFonts w:hint="default"/>
        </w:rPr>
      </w:pPr>
    </w:p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ascii="黑体" w:hAnsi="黑体" w:eastAsia="黑体" w:cs="Times New Roman"/>
          <w:snapToGrid/>
          <w:sz w:val="24"/>
          <w:szCs w:val="22"/>
        </w:rPr>
      </w:pPr>
    </w:p>
    <w:p>
      <w:pPr>
        <w:rPr>
          <w:rFonts w:ascii="黑体" w:hAnsi="黑体" w:eastAsia="黑体" w:cs="Times New Roman"/>
          <w:snapToGrid/>
          <w:sz w:val="24"/>
          <w:szCs w:val="22"/>
        </w:rPr>
      </w:pPr>
    </w:p>
    <w:p>
      <w:pPr>
        <w:rPr>
          <w:rFonts w:eastAsiaTheme="minorEastAsia"/>
        </w:rPr>
      </w:pPr>
    </w:p>
    <w:p>
      <w:pPr>
        <w:pStyle w:val="2"/>
        <w:rPr>
          <w:rFonts w:eastAsiaTheme="minorEastAsia"/>
        </w:rPr>
      </w:pPr>
    </w:p>
    <w:p>
      <w:pPr>
        <w:rPr>
          <w:rStyle w:val="10"/>
          <w:rFonts w:hint="default"/>
          <w:color w:val="auto"/>
          <w:sz w:val="24"/>
          <w:szCs w:val="24"/>
          <w:lang w:bidi="ar"/>
        </w:rPr>
      </w:pPr>
    </w:p>
    <w:sectPr>
      <w:footerReference r:id="rId3" w:type="default"/>
      <w:pgSz w:w="16840" w:h="11907" w:orient="landscape"/>
      <w:pgMar w:top="1418" w:right="1077" w:bottom="1418" w:left="1588" w:header="0" w:footer="0" w:gutter="0"/>
      <w:cols w:space="720" w:num="1"/>
      <w:vAlign w:val="center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UwYjU5OGMzNjljYjRhZjUxNjZiYmQzYTRiYjQ4MTAifQ=="/>
    <w:docVar w:name="KSO_WPS_MARK_KEY" w:val="646461de-b339-4c72-af75-56e05b6932d5"/>
  </w:docVars>
  <w:rsids>
    <w:rsidRoot w:val="00393FB6"/>
    <w:rsid w:val="00021583"/>
    <w:rsid w:val="000B2C0B"/>
    <w:rsid w:val="000C7364"/>
    <w:rsid w:val="000F3EBA"/>
    <w:rsid w:val="00103F03"/>
    <w:rsid w:val="001127F3"/>
    <w:rsid w:val="0019173B"/>
    <w:rsid w:val="001A6B76"/>
    <w:rsid w:val="001E3C1D"/>
    <w:rsid w:val="002007F6"/>
    <w:rsid w:val="0022782F"/>
    <w:rsid w:val="00281D0C"/>
    <w:rsid w:val="002D6F42"/>
    <w:rsid w:val="00320C00"/>
    <w:rsid w:val="00340874"/>
    <w:rsid w:val="00344C87"/>
    <w:rsid w:val="00363914"/>
    <w:rsid w:val="00384FF9"/>
    <w:rsid w:val="00392EF7"/>
    <w:rsid w:val="00393FB6"/>
    <w:rsid w:val="003D0803"/>
    <w:rsid w:val="003D5439"/>
    <w:rsid w:val="004016C8"/>
    <w:rsid w:val="00436E7B"/>
    <w:rsid w:val="00443A63"/>
    <w:rsid w:val="004670BE"/>
    <w:rsid w:val="004A39CA"/>
    <w:rsid w:val="004C12E1"/>
    <w:rsid w:val="00503C1F"/>
    <w:rsid w:val="00505144"/>
    <w:rsid w:val="00552C6C"/>
    <w:rsid w:val="005E1205"/>
    <w:rsid w:val="006057BA"/>
    <w:rsid w:val="00626630"/>
    <w:rsid w:val="00686365"/>
    <w:rsid w:val="006B1D99"/>
    <w:rsid w:val="0073100C"/>
    <w:rsid w:val="00744B0C"/>
    <w:rsid w:val="00744FB3"/>
    <w:rsid w:val="00790E35"/>
    <w:rsid w:val="00840066"/>
    <w:rsid w:val="008405FB"/>
    <w:rsid w:val="00844723"/>
    <w:rsid w:val="008719EF"/>
    <w:rsid w:val="00890527"/>
    <w:rsid w:val="008E18C1"/>
    <w:rsid w:val="009332FD"/>
    <w:rsid w:val="00937029"/>
    <w:rsid w:val="0099333A"/>
    <w:rsid w:val="009A7F5C"/>
    <w:rsid w:val="009B6AC4"/>
    <w:rsid w:val="00A34C72"/>
    <w:rsid w:val="00A503AF"/>
    <w:rsid w:val="00A513E6"/>
    <w:rsid w:val="00A8257C"/>
    <w:rsid w:val="00AB62B6"/>
    <w:rsid w:val="00B237FF"/>
    <w:rsid w:val="00B36708"/>
    <w:rsid w:val="00BA19F8"/>
    <w:rsid w:val="00BB1531"/>
    <w:rsid w:val="00C04A05"/>
    <w:rsid w:val="00C97B05"/>
    <w:rsid w:val="00CB0077"/>
    <w:rsid w:val="00CB7825"/>
    <w:rsid w:val="00D0046B"/>
    <w:rsid w:val="00D05DCC"/>
    <w:rsid w:val="00D60C84"/>
    <w:rsid w:val="00D900F5"/>
    <w:rsid w:val="00DD2F15"/>
    <w:rsid w:val="00E03149"/>
    <w:rsid w:val="00E060B8"/>
    <w:rsid w:val="00E448D2"/>
    <w:rsid w:val="00E93D6A"/>
    <w:rsid w:val="00EA565F"/>
    <w:rsid w:val="00EB297E"/>
    <w:rsid w:val="00ED56A4"/>
    <w:rsid w:val="00EF3F7C"/>
    <w:rsid w:val="00F01BDF"/>
    <w:rsid w:val="00F23B19"/>
    <w:rsid w:val="00F33CC0"/>
    <w:rsid w:val="00F57229"/>
    <w:rsid w:val="00F674AC"/>
    <w:rsid w:val="00F76A4B"/>
    <w:rsid w:val="00F97D69"/>
    <w:rsid w:val="00FC3DCF"/>
    <w:rsid w:val="00FD7477"/>
    <w:rsid w:val="00FF653C"/>
    <w:rsid w:val="023521F3"/>
    <w:rsid w:val="02AF0DB5"/>
    <w:rsid w:val="04D83287"/>
    <w:rsid w:val="04FA4983"/>
    <w:rsid w:val="064F0F27"/>
    <w:rsid w:val="0B785408"/>
    <w:rsid w:val="12573D96"/>
    <w:rsid w:val="13390968"/>
    <w:rsid w:val="15A775D7"/>
    <w:rsid w:val="18D50B74"/>
    <w:rsid w:val="1C0C6999"/>
    <w:rsid w:val="23852448"/>
    <w:rsid w:val="256A6F18"/>
    <w:rsid w:val="263D0DC6"/>
    <w:rsid w:val="287E470C"/>
    <w:rsid w:val="2A6D3617"/>
    <w:rsid w:val="2D671164"/>
    <w:rsid w:val="2DFF0206"/>
    <w:rsid w:val="30246EA2"/>
    <w:rsid w:val="35814E85"/>
    <w:rsid w:val="376367A4"/>
    <w:rsid w:val="37B10754"/>
    <w:rsid w:val="391A7F37"/>
    <w:rsid w:val="3C656806"/>
    <w:rsid w:val="3C8B6758"/>
    <w:rsid w:val="3C9330BF"/>
    <w:rsid w:val="43231E58"/>
    <w:rsid w:val="445F34AB"/>
    <w:rsid w:val="447C4EE8"/>
    <w:rsid w:val="45E34689"/>
    <w:rsid w:val="479B3FAD"/>
    <w:rsid w:val="48A91807"/>
    <w:rsid w:val="4B763999"/>
    <w:rsid w:val="4DC45E55"/>
    <w:rsid w:val="4E8C1541"/>
    <w:rsid w:val="4F4C3301"/>
    <w:rsid w:val="4FDF7B6B"/>
    <w:rsid w:val="4FE5218A"/>
    <w:rsid w:val="504A5BE7"/>
    <w:rsid w:val="5373393E"/>
    <w:rsid w:val="542B2F22"/>
    <w:rsid w:val="55057467"/>
    <w:rsid w:val="55400812"/>
    <w:rsid w:val="55995A30"/>
    <w:rsid w:val="55D675A3"/>
    <w:rsid w:val="56597421"/>
    <w:rsid w:val="56612252"/>
    <w:rsid w:val="572A4DB9"/>
    <w:rsid w:val="5A897952"/>
    <w:rsid w:val="5B7F65DD"/>
    <w:rsid w:val="5BCB36F2"/>
    <w:rsid w:val="5C0E136F"/>
    <w:rsid w:val="600457DF"/>
    <w:rsid w:val="61112110"/>
    <w:rsid w:val="62E17EF4"/>
    <w:rsid w:val="65EB2DB7"/>
    <w:rsid w:val="665E1037"/>
    <w:rsid w:val="66E13652"/>
    <w:rsid w:val="673F240D"/>
    <w:rsid w:val="6A177B1C"/>
    <w:rsid w:val="6A1E6C50"/>
    <w:rsid w:val="6CBD384E"/>
    <w:rsid w:val="6D2F5828"/>
    <w:rsid w:val="6E40024C"/>
    <w:rsid w:val="73FE45E2"/>
    <w:rsid w:val="79B70AD9"/>
    <w:rsid w:val="79FA6DA4"/>
    <w:rsid w:val="7A0976C4"/>
    <w:rsid w:val="7A245C71"/>
    <w:rsid w:val="7DDF3DE2"/>
    <w:rsid w:val="7E00533C"/>
    <w:rsid w:val="7ED306EC"/>
    <w:rsid w:val="7F2A5DC5"/>
    <w:rsid w:val="F75FF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Theme="minorEastAsia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unhideWhenUsed/>
    <w:qFormat/>
    <w:uiPriority w:val="99"/>
    <w:pPr>
      <w:ind w:firstLine="420"/>
    </w:pPr>
  </w:style>
  <w:style w:type="paragraph" w:styleId="3">
    <w:name w:val="annotation text"/>
    <w:basedOn w:val="1"/>
    <w:qFormat/>
    <w:uiPriority w:val="0"/>
    <w:rPr>
      <w:rFonts w:ascii="Calibri" w:hAnsi="Calibri" w:cs="宋体"/>
      <w:szCs w:val="22"/>
    </w:rPr>
  </w:style>
  <w:style w:type="paragraph" w:styleId="4">
    <w:name w:val="Body Text Indent"/>
    <w:basedOn w:val="1"/>
    <w:unhideWhenUsed/>
    <w:qFormat/>
    <w:uiPriority w:val="99"/>
    <w:pPr>
      <w:ind w:firstLine="640" w:firstLineChars="200"/>
    </w:pPr>
    <w:rPr>
      <w:rFonts w:eastAsia="仿宋_GB2312"/>
    </w:rPr>
  </w:style>
  <w:style w:type="paragraph" w:customStyle="1" w:styleId="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黑体" w:hAnsi="黑体" w:eastAsia="黑体" w:cs="Times New Roman"/>
      <w:color w:val="000000"/>
      <w:sz w:val="24"/>
      <w:szCs w:val="22"/>
      <w:lang w:val="en-US" w:eastAsia="zh-CN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font31"/>
    <w:basedOn w:val="6"/>
    <w:qFormat/>
    <w:uiPriority w:val="0"/>
    <w:rPr>
      <w:rFonts w:ascii="黑体" w:hAnsi="宋体" w:eastAsia="黑体" w:cs="黑体"/>
      <w:color w:val="000000"/>
      <w:sz w:val="24"/>
      <w:szCs w:val="24"/>
      <w:u w:val="none"/>
    </w:rPr>
  </w:style>
  <w:style w:type="character" w:customStyle="1" w:styleId="10">
    <w:name w:val="font41"/>
    <w:basedOn w:val="6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1">
    <w:name w:val="font6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870</Words>
  <Characters>886</Characters>
  <Lines>6</Lines>
  <Paragraphs>1</Paragraphs>
  <TotalTime>19</TotalTime>
  <ScaleCrop>false</ScaleCrop>
  <LinksUpToDate>false</LinksUpToDate>
  <CharactersWithSpaces>886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2023-12-15T03:36:00Z</dcterms:created>
  <dc:creator>Kingsoft-PDF</dc:creator>
  <cp:lastModifiedBy>云淡风轻</cp:lastModifiedBy>
  <cp:lastPrinted>2024-01-03T03:24:00Z</cp:lastPrinted>
  <dcterms:modified xsi:type="dcterms:W3CDTF">2024-12-18T05:53:45Z</dcterms:modified>
  <dc:subject>pdfbuilder</dc:subject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2023-06-01T15:46:55Z</vt:filetime>
  </property>
  <property fmtid="{D5CDD505-2E9C-101B-9397-08002B2CF9AE}" pid="4" name="UsrData">
    <vt:lpwstr>64784cc5671803001f7640d7</vt:lpwstr>
  </property>
  <property fmtid="{D5CDD505-2E9C-101B-9397-08002B2CF9AE}" pid="5" name="KSOProductBuildVer">
    <vt:lpwstr>2052-11.8.2.9022</vt:lpwstr>
  </property>
  <property fmtid="{D5CDD505-2E9C-101B-9397-08002B2CF9AE}" pid="6" name="ICV">
    <vt:lpwstr>4852456DD803496FBAB9A104F035F60C</vt:lpwstr>
  </property>
</Properties>
</file>